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MOPS.5.2023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marca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pełnomocnictwa radcy prawnemu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3a 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osobom uprawnionym do alimentów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 1964r  Kodeksu postępowania cywilnego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Udzielam pełnomocnictwa Pani Magdalenie Kręczkowskiej – radcy prawnemu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Redzie, wpisanej przez Okręgową Izbę Radców Prawnych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Gdańsku pod nr Gd–1465 do reprezentowania Burmistrza Miasta Redy przed sądami powszechnymi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egzekucyjnych postępowaniach sądowych dotyczących dochodzenia należności wypłaconych osobom uprawnionym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funduszu alimentacyjnego.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Pełnomocnictwo udziela się na czas zatrudnienia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lub do dnia jego odwołania.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NR.MOPS.4.2016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udzielenia pełnomocnictwa radcy prawnemu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64C6077F-E814-4D97-B9F6-1C7C7F21D8A2.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MOPS.5.2023 z dnia 15 marca 2023 r.</dc:title>
  <dc:subject>w sprawie udzielenia pełnomocnictwa radcy prawnemu Miejskiego Ośrodka Pomocy Społecznej w^Redzie.</dc:subject>
  <dc:creator>hjaniak</dc:creator>
  <cp:lastModifiedBy>hjaniak</cp:lastModifiedBy>
  <cp:revision>1</cp:revision>
  <dcterms:created xsi:type="dcterms:W3CDTF">2023-03-15T15:21:39Z</dcterms:created>
  <dcterms:modified xsi:type="dcterms:W3CDTF">2023-03-15T15:21:39Z</dcterms:modified>
  <cp:category>Akt prawny</cp:category>
</cp:coreProperties>
</file>