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OR.16.2023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Dyrektora Fabryki Kultury.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(j.t.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art. 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października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organizowaniu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prowadzeniu działalności kulturalnej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194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1465)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dniem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powołuję się pana Tomasza Wiśniewskiego na stanowisko Dyrektora Fabryki Kultury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poprzedzone jest zawarciem umowy, określającej warunki organizacyjno-finansowe działalności  oraz program działania Fabryki Kultury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następuje na czas określony siedmiu lat, od 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powoduje nawiązanie stosunku 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Fabryce Kultury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na czas określony,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wynagrodzenia oraz inne warunki pracy zostaną określone odrębnie.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15A120B8-A633-4B85-A2DF-276A6CBB62AD.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OR.16.2023 z dnia 20 października 2023 r.</dc:title>
  <dc:subject>w sprawie powołania Dyrektora Fabryki Kultury.</dc:subject>
  <dc:creator>hjaniak</dc:creator>
  <cp:lastModifiedBy>hjaniak</cp:lastModifiedBy>
  <cp:revision>1</cp:revision>
  <dcterms:created xsi:type="dcterms:W3CDTF">2023-10-20T13:23:57Z</dcterms:created>
  <dcterms:modified xsi:type="dcterms:W3CDTF">2023-10-20T13:23:57Z</dcterms:modified>
  <cp:category>Akt prawny</cp:category>
</cp:coreProperties>
</file>