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ADCA" w14:textId="77777777" w:rsidR="00AF7950" w:rsidRDefault="008E7C07">
      <w:pPr>
        <w:shd w:val="clear" w:color="auto" w:fill="FFFFFF"/>
        <w:jc w:val="center"/>
        <w:rPr>
          <w:rFonts w:ascii="Tahoma" w:hAnsi="Tahoma"/>
        </w:rPr>
      </w:pPr>
      <w:r>
        <w:rPr>
          <w:rFonts w:ascii="Tahoma" w:hAnsi="Tahoma" w:cs="Tahoma"/>
          <w:b/>
          <w:bCs/>
        </w:rPr>
        <w:t>Uchwała nr 4/2025</w:t>
      </w:r>
    </w:p>
    <w:p w14:paraId="0E45DBE7" w14:textId="77777777" w:rsidR="00AF7950" w:rsidRDefault="008E7C07">
      <w:pPr>
        <w:jc w:val="center"/>
        <w:rPr>
          <w:rFonts w:ascii="Tahoma" w:hAnsi="Tahoma"/>
        </w:rPr>
      </w:pPr>
      <w:r>
        <w:rPr>
          <w:rFonts w:ascii="Tahoma" w:hAnsi="Tahoma" w:cs="Tahoma"/>
          <w:b/>
        </w:rPr>
        <w:t>Nadzwyczajnego Zgromadzenia Wspólników</w:t>
      </w:r>
    </w:p>
    <w:p w14:paraId="2911E544" w14:textId="77777777" w:rsidR="00AF7950" w:rsidRDefault="008E7C07">
      <w:pPr>
        <w:jc w:val="center"/>
        <w:rPr>
          <w:rFonts w:ascii="Tahoma" w:hAnsi="Tahoma"/>
        </w:rPr>
      </w:pPr>
      <w:r>
        <w:rPr>
          <w:rFonts w:ascii="Tahoma" w:hAnsi="Tahoma" w:cs="Tahoma"/>
          <w:b/>
        </w:rPr>
        <w:t xml:space="preserve">Spółki Redzkie Usługi Komunalne spółka z ograniczoną odpowiedzialnością </w:t>
      </w:r>
    </w:p>
    <w:p w14:paraId="2E952BF5" w14:textId="77777777" w:rsidR="00AF7950" w:rsidRDefault="008E7C07">
      <w:pPr>
        <w:jc w:val="center"/>
        <w:rPr>
          <w:rFonts w:ascii="Tahoma" w:hAnsi="Tahoma"/>
        </w:rPr>
      </w:pPr>
      <w:r>
        <w:rPr>
          <w:rFonts w:ascii="Tahoma" w:hAnsi="Tahoma" w:cs="Tahoma"/>
          <w:b/>
        </w:rPr>
        <w:t>z siedzibą w Redzie</w:t>
      </w:r>
    </w:p>
    <w:p w14:paraId="2BC43012" w14:textId="77777777" w:rsidR="00AF7950" w:rsidRDefault="008E7C07">
      <w:pPr>
        <w:jc w:val="center"/>
        <w:rPr>
          <w:rFonts w:ascii="Tahoma" w:hAnsi="Tahoma"/>
        </w:rPr>
      </w:pPr>
      <w:r>
        <w:rPr>
          <w:rFonts w:ascii="Tahoma" w:hAnsi="Tahoma" w:cs="Tahoma"/>
          <w:b/>
        </w:rPr>
        <w:t xml:space="preserve">z dnia 16 września 2025 r. </w:t>
      </w:r>
    </w:p>
    <w:p w14:paraId="2074E2C1" w14:textId="77777777" w:rsidR="00AF7950" w:rsidRDefault="00AF7950">
      <w:pPr>
        <w:jc w:val="center"/>
        <w:rPr>
          <w:rFonts w:ascii="Tahoma" w:hAnsi="Tahoma" w:cs="Tahoma"/>
          <w:bCs/>
        </w:rPr>
      </w:pPr>
    </w:p>
    <w:p w14:paraId="3F2BD324" w14:textId="77777777" w:rsidR="00AF7950" w:rsidRDefault="008E7C07">
      <w:pPr>
        <w:jc w:val="both"/>
        <w:rPr>
          <w:rFonts w:ascii="Tahoma" w:hAnsi="Tahoma"/>
        </w:rPr>
      </w:pPr>
      <w:r>
        <w:rPr>
          <w:rFonts w:ascii="Tahoma" w:hAnsi="Tahoma" w:cs="Tahoma"/>
          <w:b/>
          <w:bCs/>
        </w:rPr>
        <w:t>w sprawie</w:t>
      </w:r>
      <w:r>
        <w:rPr>
          <w:rFonts w:ascii="Tahoma" w:hAnsi="Tahoma" w:cs="Tahoma"/>
          <w:bCs/>
        </w:rPr>
        <w:t xml:space="preserve">: zasad kształtowania wynagrodzeń członków zarządu spółki Redzkie Usługi Komunalne spółka z ograniczoną odpowiedzialnością z siedzibą w Redzie </w:t>
      </w:r>
    </w:p>
    <w:p w14:paraId="0F4FDB6E" w14:textId="77777777" w:rsidR="00AF7950" w:rsidRDefault="00AF7950">
      <w:pPr>
        <w:jc w:val="both"/>
        <w:rPr>
          <w:rFonts w:ascii="Tahoma" w:hAnsi="Tahoma" w:cs="Tahoma"/>
          <w:bCs/>
        </w:rPr>
      </w:pPr>
    </w:p>
    <w:p w14:paraId="2B21A8B2" w14:textId="34F9E49F" w:rsidR="00AF7950" w:rsidRPr="00A572DD" w:rsidRDefault="008E7C07" w:rsidP="00A572DD">
      <w:pPr>
        <w:jc w:val="both"/>
        <w:rPr>
          <w:rFonts w:ascii="Tahoma" w:hAnsi="Tahoma"/>
        </w:rPr>
      </w:pPr>
      <w:r>
        <w:rPr>
          <w:rFonts w:ascii="Tahoma" w:eastAsia="Times New Roman" w:hAnsi="Tahoma" w:cs="Tahoma"/>
          <w:lang w:eastAsia="pl-PL"/>
        </w:rPr>
        <w:t>Działając na podstawie art. 2 ust. 2 pkt 1, art. 4, art. 5, art. 6, art. 7 i art. 8 ustawy z dnia 9 czerwca 2016 r. o zasadach kształtowania wynagrodzeń osób kierujących niektórymi spółkami oraz § 15 pkt 8) Aktu Założycielskiego Spółki Zgromadzenie Wspólników Spółki</w:t>
      </w:r>
      <w:r>
        <w:rPr>
          <w:rFonts w:ascii="Tahoma" w:hAnsi="Tahoma" w:cs="Tahoma"/>
        </w:rPr>
        <w:t xml:space="preserve"> Redzkie Usługi Komunalne spółka z ograniczoną odpowiedzialnością z siedzibą w Redzie</w:t>
      </w:r>
      <w:r>
        <w:rPr>
          <w:rFonts w:ascii="Tahoma" w:eastAsia="Times New Roman" w:hAnsi="Tahoma" w:cs="Tahoma"/>
          <w:lang w:eastAsia="pl-PL"/>
        </w:rPr>
        <w:t xml:space="preserve"> (Spółka) uchwala, co następuje: </w:t>
      </w:r>
    </w:p>
    <w:p w14:paraId="455174CD" w14:textId="77777777" w:rsidR="00AF7950" w:rsidRDefault="008E7C07">
      <w:pPr>
        <w:spacing w:line="360" w:lineRule="auto"/>
        <w:contextualSpacing/>
        <w:jc w:val="center"/>
        <w:rPr>
          <w:rFonts w:ascii="Tahoma" w:hAnsi="Tahoma"/>
        </w:rPr>
      </w:pPr>
      <w:r>
        <w:rPr>
          <w:rFonts w:ascii="Tahoma" w:eastAsia="Times New Roman" w:hAnsi="Tahoma" w:cs="Tahoma"/>
          <w:b/>
          <w:bCs/>
          <w:lang w:eastAsia="pl-PL"/>
        </w:rPr>
        <w:t>§ 1</w:t>
      </w:r>
    </w:p>
    <w:p w14:paraId="60FAC8E4" w14:textId="77777777" w:rsidR="00AF7950" w:rsidRDefault="008E7C07">
      <w:pPr>
        <w:numPr>
          <w:ilvl w:val="0"/>
          <w:numId w:val="1"/>
        </w:numPr>
        <w:spacing w:after="0" w:line="360" w:lineRule="auto"/>
        <w:ind w:left="567" w:hanging="283"/>
        <w:contextualSpacing/>
        <w:jc w:val="both"/>
        <w:rPr>
          <w:rFonts w:ascii="Tahoma" w:hAnsi="Tahoma"/>
        </w:rPr>
      </w:pPr>
      <w:r>
        <w:rPr>
          <w:rFonts w:ascii="Tahoma" w:eastAsia="Times New Roman" w:hAnsi="Tahoma" w:cs="Tahoma"/>
          <w:lang w:eastAsia="pl-PL"/>
        </w:rPr>
        <w:t>Z Członkiem Zarządu Spółki zawierana jest umowa o świadczenie usług zarządzania na czas pełnienia funkcji (zwana dalej Umową), z obowiązkiem świadczenia osobistego, bez względu na to, czy działa on w zakresie prowadzonej działalności gospodarczej.</w:t>
      </w:r>
    </w:p>
    <w:p w14:paraId="0FF9CCAA" w14:textId="77777777" w:rsidR="00AF7950" w:rsidRDefault="008E7C07">
      <w:pPr>
        <w:numPr>
          <w:ilvl w:val="0"/>
          <w:numId w:val="1"/>
        </w:numPr>
        <w:spacing w:after="0" w:line="360" w:lineRule="auto"/>
        <w:ind w:left="567" w:hanging="283"/>
        <w:contextualSpacing/>
        <w:jc w:val="both"/>
        <w:rPr>
          <w:rFonts w:ascii="Tahoma" w:hAnsi="Tahoma"/>
        </w:rPr>
      </w:pPr>
      <w:r>
        <w:rPr>
          <w:rFonts w:ascii="Tahoma" w:eastAsia="Times New Roman" w:hAnsi="Tahoma" w:cs="Tahoma"/>
          <w:lang w:eastAsia="pl-PL"/>
        </w:rPr>
        <w:t xml:space="preserve">Treść Umowy określa Rada Nadzorcza na warunkach określonych w ustawie z dnia 9 czerwca 2016 r. o zasadach kształtowania wynagrodzeń osób kierujących niektórymi spółkami (zwanej dalej: Ustawą) oraz zgodnie z postanowieniami niniejszej uchwały. </w:t>
      </w:r>
    </w:p>
    <w:p w14:paraId="7D2D5691" w14:textId="77777777" w:rsidR="00AF7950" w:rsidRDefault="00AF7950">
      <w:pPr>
        <w:spacing w:after="0" w:line="360" w:lineRule="auto"/>
        <w:ind w:left="709"/>
        <w:contextualSpacing/>
        <w:jc w:val="both"/>
        <w:rPr>
          <w:rFonts w:ascii="Tahoma" w:eastAsia="Times New Roman" w:hAnsi="Tahoma" w:cs="Tahoma"/>
          <w:lang w:eastAsia="pl-PL"/>
        </w:rPr>
      </w:pPr>
    </w:p>
    <w:p w14:paraId="4F5EFD73" w14:textId="77777777" w:rsidR="00AF7950" w:rsidRDefault="008E7C07">
      <w:pPr>
        <w:spacing w:before="240" w:line="360" w:lineRule="auto"/>
        <w:contextualSpacing/>
        <w:jc w:val="center"/>
        <w:rPr>
          <w:rFonts w:ascii="Tahoma" w:hAnsi="Tahoma"/>
        </w:rPr>
      </w:pPr>
      <w:r>
        <w:rPr>
          <w:rFonts w:ascii="Tahoma" w:eastAsia="Times New Roman" w:hAnsi="Tahoma" w:cs="Tahoma"/>
          <w:b/>
          <w:bCs/>
          <w:lang w:eastAsia="pl-PL"/>
        </w:rPr>
        <w:t>§ 2</w:t>
      </w:r>
    </w:p>
    <w:p w14:paraId="0A2DF986" w14:textId="77777777" w:rsidR="00AF7950" w:rsidRDefault="008E7C07">
      <w:pPr>
        <w:numPr>
          <w:ilvl w:val="0"/>
          <w:numId w:val="2"/>
        </w:numPr>
        <w:spacing w:after="0" w:line="360" w:lineRule="auto"/>
        <w:ind w:left="567" w:hanging="283"/>
        <w:contextualSpacing/>
        <w:jc w:val="both"/>
        <w:rPr>
          <w:rFonts w:ascii="Tahoma" w:hAnsi="Tahoma"/>
        </w:rPr>
      </w:pPr>
      <w:r>
        <w:rPr>
          <w:rFonts w:ascii="Tahoma" w:eastAsia="Times New Roman" w:hAnsi="Tahoma" w:cs="Tahoma"/>
          <w:lang w:eastAsia="pl-PL"/>
        </w:rPr>
        <w:t>Wynagrodzenie całkowite Członka Zarządu Spółki składa się z części stałej, stanowiącej wynagrodzenie miesięczne podstawowe (Wynagrodzenie Stałe) oraz części zmiennej, stanowiącej wynagrodzenie uzupełniające za rok obrotowy Spółki (Wynagrodzenie Zmienne).</w:t>
      </w:r>
    </w:p>
    <w:p w14:paraId="6D350E4A" w14:textId="49EF1152" w:rsidR="00A572DD" w:rsidRPr="008E7C07" w:rsidRDefault="008E7C07" w:rsidP="00A572DD">
      <w:pPr>
        <w:numPr>
          <w:ilvl w:val="0"/>
          <w:numId w:val="2"/>
        </w:numPr>
        <w:spacing w:after="0" w:line="360" w:lineRule="auto"/>
        <w:ind w:left="567" w:hanging="283"/>
        <w:contextualSpacing/>
        <w:jc w:val="both"/>
        <w:rPr>
          <w:rFonts w:ascii="Tahoma" w:hAnsi="Tahoma"/>
        </w:rPr>
      </w:pPr>
      <w:r>
        <w:rPr>
          <w:rFonts w:ascii="Tahoma" w:eastAsia="Times New Roman" w:hAnsi="Tahoma" w:cs="Tahoma"/>
          <w:lang w:eastAsia="pl-PL"/>
        </w:rPr>
        <w:t>Wynagrodzenie Stałe Prezesa Zarządu</w:t>
      </w:r>
      <w:r w:rsidR="00A572DD">
        <w:rPr>
          <w:rFonts w:ascii="Tahoma" w:eastAsia="Times New Roman" w:hAnsi="Tahoma" w:cs="Tahoma"/>
          <w:lang w:eastAsia="pl-PL"/>
        </w:rPr>
        <w:t xml:space="preserve"> Spółki </w:t>
      </w:r>
      <w:r>
        <w:rPr>
          <w:rFonts w:ascii="Tahoma" w:eastAsia="Times New Roman" w:hAnsi="Tahoma" w:cs="Tahoma"/>
          <w:lang w:eastAsia="pl-PL"/>
        </w:rPr>
        <w:t>wynosi</w:t>
      </w:r>
      <w:r w:rsidR="00A572DD">
        <w:rPr>
          <w:rFonts w:ascii="Tahoma" w:eastAsia="Times New Roman" w:hAnsi="Tahoma" w:cs="Tahoma"/>
          <w:lang w:eastAsia="pl-PL"/>
        </w:rPr>
        <w:t xml:space="preserve"> 12 000 </w:t>
      </w:r>
      <w:r>
        <w:rPr>
          <w:rFonts w:ascii="Tahoma" w:eastAsia="Times New Roman" w:hAnsi="Tahoma" w:cs="Tahoma"/>
          <w:lang w:eastAsia="pl-PL"/>
        </w:rPr>
        <w:t xml:space="preserve">zł </w:t>
      </w:r>
      <w:r w:rsidR="00A572DD">
        <w:rPr>
          <w:rFonts w:ascii="Tahoma" w:eastAsia="Times New Roman" w:hAnsi="Tahoma" w:cs="Tahoma"/>
          <w:lang w:eastAsia="pl-PL"/>
        </w:rPr>
        <w:t>(słownie: dwanaście tysięcy złotych)</w:t>
      </w:r>
      <w:r w:rsidR="00A572DD">
        <w:rPr>
          <w:rFonts w:ascii="Tahoma" w:eastAsia="Times New Roman" w:hAnsi="Tahoma" w:cs="Tahoma"/>
          <w:lang w:eastAsia="pl-PL"/>
        </w:rPr>
        <w:t xml:space="preserve"> </w:t>
      </w:r>
      <w:r>
        <w:rPr>
          <w:rFonts w:ascii="Tahoma" w:eastAsia="Times New Roman" w:hAnsi="Tahoma" w:cs="Tahoma"/>
          <w:lang w:eastAsia="pl-PL"/>
        </w:rPr>
        <w:t xml:space="preserve">miesięcznie </w:t>
      </w:r>
      <w:r>
        <w:rPr>
          <w:rFonts w:ascii="Tahoma" w:hAnsi="Tahoma" w:cs="Tahoma"/>
        </w:rPr>
        <w:t>i odpowiada wymogom określonym w art. 4 ust. 2 pkt 1 Ustawy.</w:t>
      </w:r>
    </w:p>
    <w:p w14:paraId="03AB1A23" w14:textId="77777777" w:rsidR="008E7C07" w:rsidRPr="00A572DD" w:rsidRDefault="008E7C07" w:rsidP="008E7C07">
      <w:pPr>
        <w:spacing w:after="0" w:line="360" w:lineRule="auto"/>
        <w:ind w:left="567"/>
        <w:contextualSpacing/>
        <w:jc w:val="both"/>
        <w:rPr>
          <w:rFonts w:ascii="Tahoma" w:hAnsi="Tahoma"/>
        </w:rPr>
      </w:pPr>
    </w:p>
    <w:p w14:paraId="5BF356E6" w14:textId="77777777" w:rsidR="00AF7950" w:rsidRDefault="008E7C07">
      <w:pPr>
        <w:spacing w:before="240" w:line="360" w:lineRule="auto"/>
        <w:contextualSpacing/>
        <w:jc w:val="center"/>
        <w:rPr>
          <w:rFonts w:ascii="Tahoma" w:hAnsi="Tahoma"/>
        </w:rPr>
      </w:pPr>
      <w:r>
        <w:rPr>
          <w:rFonts w:ascii="Tahoma" w:eastAsia="Times New Roman" w:hAnsi="Tahoma" w:cs="Tahoma"/>
          <w:b/>
          <w:bCs/>
          <w:lang w:eastAsia="pl-PL"/>
        </w:rPr>
        <w:t>§ 3</w:t>
      </w:r>
    </w:p>
    <w:p w14:paraId="21598A9A" w14:textId="5DC00E04" w:rsidR="00AF7950" w:rsidRDefault="008E7C07">
      <w:pPr>
        <w:numPr>
          <w:ilvl w:val="0"/>
          <w:numId w:val="3"/>
        </w:numPr>
        <w:spacing w:after="0" w:line="360" w:lineRule="auto"/>
        <w:ind w:left="567" w:hanging="283"/>
        <w:contextualSpacing/>
        <w:jc w:val="both"/>
        <w:rPr>
          <w:rFonts w:ascii="Tahoma" w:hAnsi="Tahoma"/>
        </w:rPr>
      </w:pPr>
      <w:r>
        <w:rPr>
          <w:rFonts w:ascii="Tahoma" w:eastAsia="Times New Roman" w:hAnsi="Tahoma" w:cs="Tahoma"/>
          <w:lang w:eastAsia="pl-PL"/>
        </w:rPr>
        <w:t xml:space="preserve">Wynagrodzenie Zmienne jest uzależnione od poziomu realizacji Celów Zarządczych i nie może przekroczyć </w:t>
      </w:r>
      <w:r w:rsidR="00A572DD">
        <w:rPr>
          <w:rFonts w:ascii="Tahoma" w:eastAsia="Times New Roman" w:hAnsi="Tahoma" w:cs="Tahoma"/>
          <w:lang w:eastAsia="pl-PL"/>
        </w:rPr>
        <w:t>3</w:t>
      </w:r>
      <w:r>
        <w:rPr>
          <w:rFonts w:ascii="Tahoma" w:eastAsia="Times New Roman" w:hAnsi="Tahoma" w:cs="Tahoma"/>
          <w:lang w:eastAsia="pl-PL"/>
        </w:rPr>
        <w:t>0 % Wynagrodzenia Stałego w poprzednim roku obrotowym.</w:t>
      </w:r>
    </w:p>
    <w:p w14:paraId="3B365FE3" w14:textId="77777777" w:rsidR="001A0BC0" w:rsidRDefault="008E7C07" w:rsidP="001A0BC0">
      <w:pPr>
        <w:numPr>
          <w:ilvl w:val="0"/>
          <w:numId w:val="3"/>
        </w:numPr>
        <w:spacing w:after="0" w:line="360" w:lineRule="auto"/>
        <w:ind w:left="567" w:hanging="283"/>
        <w:contextualSpacing/>
        <w:jc w:val="both"/>
        <w:rPr>
          <w:rFonts w:ascii="Tahoma" w:hAnsi="Tahoma"/>
        </w:rPr>
      </w:pPr>
      <w:r>
        <w:rPr>
          <w:rFonts w:ascii="Tahoma" w:eastAsia="Times New Roman" w:hAnsi="Tahoma" w:cs="Tahoma"/>
          <w:lang w:eastAsia="pl-PL"/>
        </w:rPr>
        <w:t>Ustala się następujące Cele Zarządcze dla członków Zarządu:</w:t>
      </w:r>
      <w:r w:rsidR="001A0BC0">
        <w:rPr>
          <w:rFonts w:ascii="Tahoma" w:eastAsia="Times New Roman" w:hAnsi="Tahoma" w:cs="Tahoma"/>
          <w:lang w:eastAsia="pl-PL"/>
        </w:rPr>
        <w:t xml:space="preserve"> nie podlega publikacji.</w:t>
      </w:r>
    </w:p>
    <w:p w14:paraId="081B43D3" w14:textId="210796F1" w:rsidR="00AF7950" w:rsidRPr="001A0BC0" w:rsidRDefault="008E7C07" w:rsidP="001A0BC0">
      <w:pPr>
        <w:numPr>
          <w:ilvl w:val="0"/>
          <w:numId w:val="3"/>
        </w:numPr>
        <w:spacing w:after="0" w:line="360" w:lineRule="auto"/>
        <w:ind w:left="567" w:hanging="283"/>
        <w:contextualSpacing/>
        <w:jc w:val="both"/>
        <w:rPr>
          <w:rFonts w:ascii="Tahoma" w:hAnsi="Tahoma"/>
        </w:rPr>
      </w:pPr>
      <w:r w:rsidRPr="001A0BC0">
        <w:rPr>
          <w:rFonts w:ascii="Tahoma" w:eastAsia="Times New Roman" w:hAnsi="Tahoma" w:cs="Tahoma"/>
          <w:lang w:eastAsia="pl-PL"/>
        </w:rPr>
        <w:lastRenderedPageBreak/>
        <w:t xml:space="preserve">Upoważnia się Radę Nadzorczą Spółki do uszczegółowienia Celów Zarządczych, o których mowa w ust. 2, a także do określenia Wag dla tych Celów oraz obiektywnych i mierzalnych kryteriów (wskaźników) ich realizacji i rozliczania (KPI). </w:t>
      </w:r>
    </w:p>
    <w:p w14:paraId="19059A5F" w14:textId="77777777" w:rsidR="00AF7950" w:rsidRDefault="008E7C07">
      <w:pPr>
        <w:numPr>
          <w:ilvl w:val="0"/>
          <w:numId w:val="3"/>
        </w:numPr>
        <w:spacing w:after="0" w:line="360" w:lineRule="auto"/>
        <w:ind w:left="567" w:hanging="283"/>
        <w:contextualSpacing/>
        <w:jc w:val="both"/>
        <w:rPr>
          <w:rFonts w:ascii="Tahoma" w:hAnsi="Tahoma"/>
        </w:rPr>
      </w:pPr>
      <w:r>
        <w:rPr>
          <w:rFonts w:ascii="Tahoma" w:eastAsia="Times New Roman" w:hAnsi="Tahoma" w:cs="Tahoma"/>
          <w:lang w:eastAsia="pl-PL"/>
        </w:rPr>
        <w:t>W</w:t>
      </w:r>
      <w:r>
        <w:rPr>
          <w:rFonts w:ascii="Tahoma" w:eastAsia="Times New Roman" w:hAnsi="Tahoma" w:cs="Tahoma"/>
          <w:lang w:eastAsia="pl-PL"/>
        </w:rPr>
        <w:t xml:space="preserve">ynagrodzenie Zmienne może być wypłacone po zatwierdzeniu sprawozdania Zarządu z działalności Spółki oraz sprawozdania finansowego za ubiegły rok obrotowy i udzieleniu temu członkowi absolutorium z wykonania przez niego obowiązków przez Zgromadzenie Wspólników, pod warunkiem stwierdzenia przez Radę Nadzorczą realizacji przez Członka Zarządu Celów Zarządczych i określeniu należnej kwoty wypłaty, z zastrzeżeniem ust. 5. </w:t>
      </w:r>
    </w:p>
    <w:p w14:paraId="0F4B543F" w14:textId="1A3B43E9" w:rsidR="001A0BC0" w:rsidRDefault="008E7C07" w:rsidP="001A0BC0">
      <w:pPr>
        <w:numPr>
          <w:ilvl w:val="0"/>
          <w:numId w:val="3"/>
        </w:numPr>
        <w:spacing w:after="0" w:line="360" w:lineRule="auto"/>
        <w:ind w:left="567" w:hanging="283"/>
        <w:contextualSpacing/>
        <w:jc w:val="both"/>
        <w:rPr>
          <w:rFonts w:ascii="Tahoma" w:hAnsi="Tahoma"/>
        </w:rPr>
      </w:pPr>
      <w:r>
        <w:rPr>
          <w:rFonts w:ascii="Tahoma" w:eastAsia="Times New Roman" w:hAnsi="Tahoma" w:cs="Tahoma"/>
          <w:lang w:eastAsia="pl-PL"/>
        </w:rPr>
        <w:t>W przypadku wygaśnięcia mandatu Członka Zarządu w trakcie danego roku obrotowego, wysokość Wynagrodzenia Zmiennego jest ustalana z uwzględnieniem okresu sprawowania funkcji Członka Zarządu w danym roku obrotowym.</w:t>
      </w:r>
    </w:p>
    <w:p w14:paraId="621B6014" w14:textId="77777777" w:rsidR="001A0BC0" w:rsidRPr="001A0BC0" w:rsidRDefault="001A0BC0" w:rsidP="001A0BC0">
      <w:pPr>
        <w:spacing w:after="0" w:line="360" w:lineRule="auto"/>
        <w:ind w:left="567"/>
        <w:contextualSpacing/>
        <w:jc w:val="both"/>
        <w:rPr>
          <w:rFonts w:ascii="Tahoma" w:hAnsi="Tahoma"/>
        </w:rPr>
      </w:pPr>
    </w:p>
    <w:p w14:paraId="27E4994D" w14:textId="77777777" w:rsidR="00AF7950" w:rsidRDefault="008E7C07">
      <w:pPr>
        <w:spacing w:before="240" w:line="360" w:lineRule="auto"/>
        <w:contextualSpacing/>
        <w:jc w:val="center"/>
        <w:rPr>
          <w:rFonts w:ascii="Tahoma" w:hAnsi="Tahoma"/>
        </w:rPr>
      </w:pPr>
      <w:r>
        <w:rPr>
          <w:rFonts w:ascii="Tahoma" w:eastAsia="Times New Roman" w:hAnsi="Tahoma" w:cs="Tahoma"/>
          <w:b/>
          <w:bCs/>
          <w:lang w:eastAsia="pl-PL"/>
        </w:rPr>
        <w:t>§ 4</w:t>
      </w:r>
    </w:p>
    <w:p w14:paraId="07D9EDF3" w14:textId="77777777" w:rsidR="00AF7950" w:rsidRDefault="008E7C07">
      <w:pPr>
        <w:numPr>
          <w:ilvl w:val="0"/>
          <w:numId w:val="5"/>
        </w:numPr>
        <w:spacing w:after="0" w:line="360" w:lineRule="auto"/>
        <w:ind w:left="567" w:hanging="283"/>
        <w:contextualSpacing/>
        <w:jc w:val="both"/>
        <w:rPr>
          <w:rFonts w:ascii="Tahoma" w:hAnsi="Tahoma"/>
        </w:rPr>
      </w:pPr>
      <w:r>
        <w:rPr>
          <w:rFonts w:ascii="Tahoma" w:eastAsia="Times New Roman" w:hAnsi="Tahoma" w:cs="Tahoma"/>
          <w:lang w:eastAsia="pl-PL"/>
        </w:rPr>
        <w:t xml:space="preserve">Umowa będzie zawierać </w:t>
      </w:r>
      <w:r>
        <w:rPr>
          <w:rFonts w:ascii="Tahoma" w:eastAsia="Times New Roman" w:hAnsi="Tahoma" w:cs="Tahoma"/>
          <w:lang w:eastAsia="pl-PL"/>
        </w:rPr>
        <w:t>obowiązek informowania przez Członka Zarządu o zamiarze pełnienia funkcji w organach innej spółki handlowej, nabyciu w niej akcji oraz może przewidywać zakaz pełnienia funkcji w organach jakiejkolwiek innej spółki handlowej lub wprowadzać inne ograniczenia dotyczące dodatkowej działalności Członka Zarządu.</w:t>
      </w:r>
    </w:p>
    <w:p w14:paraId="4E8A47FC" w14:textId="77777777" w:rsidR="00AF7950" w:rsidRDefault="008E7C07">
      <w:pPr>
        <w:numPr>
          <w:ilvl w:val="0"/>
          <w:numId w:val="5"/>
        </w:numPr>
        <w:spacing w:after="0" w:line="360" w:lineRule="auto"/>
        <w:ind w:left="567" w:hanging="283"/>
        <w:contextualSpacing/>
        <w:jc w:val="both"/>
        <w:rPr>
          <w:rFonts w:ascii="Tahoma" w:hAnsi="Tahoma"/>
        </w:rPr>
      </w:pPr>
      <w:r>
        <w:rPr>
          <w:rFonts w:ascii="Tahoma" w:eastAsia="Times New Roman" w:hAnsi="Tahoma" w:cs="Tahoma"/>
          <w:lang w:eastAsia="pl-PL"/>
        </w:rPr>
        <w:t>Członek Zarządu nie może pobierać wynagrodzenia z tytułu pełnienia funkcji członka organu w podmiotach zależnych od Spółki w ramach grupy kapitałowej w rozumieniu art. 4 pkt 14 ustawy z dnia 16 lutego 2007 r. o ochronie konkurencji i konsumentów.</w:t>
      </w:r>
    </w:p>
    <w:p w14:paraId="29F87E0B" w14:textId="77777777" w:rsidR="00AF7950" w:rsidRPr="001A0BC0" w:rsidRDefault="008E7C07">
      <w:pPr>
        <w:numPr>
          <w:ilvl w:val="0"/>
          <w:numId w:val="5"/>
        </w:numPr>
        <w:spacing w:after="0" w:line="360" w:lineRule="auto"/>
        <w:ind w:left="567" w:hanging="283"/>
        <w:contextualSpacing/>
        <w:jc w:val="both"/>
        <w:rPr>
          <w:rFonts w:ascii="Tahoma" w:hAnsi="Tahoma"/>
        </w:rPr>
      </w:pPr>
      <w:r>
        <w:rPr>
          <w:rFonts w:ascii="Tahoma" w:eastAsia="Times New Roman" w:hAnsi="Tahoma" w:cs="Tahoma"/>
          <w:lang w:eastAsia="pl-PL"/>
        </w:rPr>
        <w:t>Upoważnia się Radę Nadzorczą do określenia zakazów i ograniczeń, o których mowa w ust. 1–2 powyżej, obowiązków sprawozdawczych z ich wykonania oraz sankcji za nienależyte wykonanie.</w:t>
      </w:r>
    </w:p>
    <w:p w14:paraId="2BC2604E" w14:textId="77777777" w:rsidR="001A0BC0" w:rsidRDefault="001A0BC0" w:rsidP="001A0BC0">
      <w:pPr>
        <w:spacing w:after="0" w:line="360" w:lineRule="auto"/>
        <w:ind w:left="567"/>
        <w:contextualSpacing/>
        <w:jc w:val="both"/>
        <w:rPr>
          <w:rFonts w:ascii="Tahoma" w:hAnsi="Tahoma"/>
        </w:rPr>
      </w:pPr>
    </w:p>
    <w:p w14:paraId="3D082A43" w14:textId="77777777" w:rsidR="00AF7950" w:rsidRDefault="008E7C07">
      <w:pPr>
        <w:spacing w:line="360" w:lineRule="auto"/>
        <w:contextualSpacing/>
        <w:jc w:val="center"/>
        <w:rPr>
          <w:rFonts w:ascii="Tahoma" w:hAnsi="Tahoma"/>
        </w:rPr>
      </w:pPr>
      <w:r>
        <w:rPr>
          <w:rFonts w:ascii="Tahoma" w:eastAsia="Times New Roman" w:hAnsi="Tahoma" w:cs="Tahoma"/>
          <w:b/>
          <w:bCs/>
          <w:lang w:eastAsia="pl-PL"/>
        </w:rPr>
        <w:t>§ 5</w:t>
      </w:r>
    </w:p>
    <w:p w14:paraId="7D4A2401" w14:textId="77777777" w:rsidR="00AF7950" w:rsidRDefault="008E7C07">
      <w:pPr>
        <w:numPr>
          <w:ilvl w:val="0"/>
          <w:numId w:val="6"/>
        </w:numPr>
        <w:spacing w:after="0" w:line="360" w:lineRule="auto"/>
        <w:ind w:left="567" w:hanging="283"/>
        <w:contextualSpacing/>
        <w:jc w:val="both"/>
        <w:rPr>
          <w:rFonts w:ascii="Tahoma" w:hAnsi="Tahoma"/>
        </w:rPr>
      </w:pPr>
      <w:r>
        <w:rPr>
          <w:rFonts w:ascii="Tahoma" w:eastAsia="Times New Roman" w:hAnsi="Tahoma" w:cs="Tahoma"/>
          <w:lang w:eastAsia="pl-PL"/>
        </w:rPr>
        <w:t>Rada Nadzorcza określi w Umowie zakres i zasady udostępniania Członkowi Zarządu urządzeń technicznych oraz zasobów stanowiących mienie Spółki, niezbędnych do wykonywania funkcji, a także limity albo sposób ich określania dotyczące kosztów, jakie Spółka ponosi w związku z udostępnieniem i wykorzystywaniem urządzeń i zasobów przez Członka Zarządu do celów służbowych.</w:t>
      </w:r>
    </w:p>
    <w:p w14:paraId="4BF2F74E" w14:textId="77777777" w:rsidR="00A572DD" w:rsidRPr="008E7C07" w:rsidRDefault="008E7C07" w:rsidP="00A572DD">
      <w:pPr>
        <w:numPr>
          <w:ilvl w:val="0"/>
          <w:numId w:val="6"/>
        </w:numPr>
        <w:spacing w:after="0" w:line="360" w:lineRule="auto"/>
        <w:ind w:left="567" w:hanging="283"/>
        <w:contextualSpacing/>
        <w:jc w:val="both"/>
        <w:rPr>
          <w:rFonts w:ascii="Tahoma" w:hAnsi="Tahoma"/>
        </w:rPr>
      </w:pPr>
      <w:r>
        <w:rPr>
          <w:rFonts w:ascii="Tahoma" w:eastAsia="Times New Roman" w:hAnsi="Tahoma" w:cs="Tahoma"/>
          <w:lang w:eastAsia="pl-PL"/>
        </w:rPr>
        <w:t>Umowa może określić także zasady korzystania przez Członka Zarządu z mienia spółki do celów prywatnych.</w:t>
      </w:r>
    </w:p>
    <w:p w14:paraId="014803BF" w14:textId="77777777" w:rsidR="008E7C07" w:rsidRDefault="008E7C07" w:rsidP="008E7C07">
      <w:pPr>
        <w:spacing w:after="0" w:line="360" w:lineRule="auto"/>
        <w:ind w:left="284"/>
        <w:contextualSpacing/>
        <w:jc w:val="both"/>
        <w:rPr>
          <w:rFonts w:ascii="Tahoma" w:hAnsi="Tahoma"/>
        </w:rPr>
      </w:pPr>
    </w:p>
    <w:p w14:paraId="57947E3C" w14:textId="1F56471D" w:rsidR="00AF7950" w:rsidRPr="00A572DD" w:rsidRDefault="008E7C07" w:rsidP="00A572DD">
      <w:pPr>
        <w:spacing w:after="0" w:line="360" w:lineRule="auto"/>
        <w:ind w:left="567"/>
        <w:contextualSpacing/>
        <w:jc w:val="center"/>
        <w:rPr>
          <w:rFonts w:ascii="Tahoma" w:hAnsi="Tahoma"/>
        </w:rPr>
      </w:pPr>
      <w:r w:rsidRPr="00A572DD">
        <w:rPr>
          <w:rFonts w:ascii="Tahoma" w:hAnsi="Tahoma"/>
          <w:b/>
          <w:bCs/>
        </w:rPr>
        <w:t>§ 6</w:t>
      </w:r>
    </w:p>
    <w:p w14:paraId="76BBB47C" w14:textId="77777777" w:rsidR="00AF7950" w:rsidRDefault="008E7C07">
      <w:pPr>
        <w:pStyle w:val="Tekstpodstawowywcity"/>
        <w:ind w:left="567" w:hanging="283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1.</w:t>
      </w:r>
      <w:r>
        <w:rPr>
          <w:rFonts w:ascii="Tahoma" w:hAnsi="Tahoma"/>
          <w:sz w:val="22"/>
          <w:szCs w:val="22"/>
        </w:rPr>
        <w:tab/>
        <w:t>W przypadku wygaśnięcia mandatu, w szczególności na skutek śmierci, odwołania lub złożenia rezygnacji, Umowa rozwiązuje się z ostatnim dniem pełnienia funkcji Członka Zarządu bez okresu wypowiedzenia i konieczności dokonywania dodatkowych czynności.</w:t>
      </w:r>
    </w:p>
    <w:p w14:paraId="1A080072" w14:textId="77777777" w:rsidR="00AF7950" w:rsidRDefault="008E7C07">
      <w:pPr>
        <w:pStyle w:val="Tekstpodstawowywcity"/>
        <w:ind w:left="567" w:hanging="283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lastRenderedPageBreak/>
        <w:t>2.</w:t>
      </w:r>
      <w:r>
        <w:rPr>
          <w:rFonts w:ascii="Tahoma" w:hAnsi="Tahoma"/>
          <w:sz w:val="22"/>
          <w:szCs w:val="22"/>
        </w:rPr>
        <w:tab/>
        <w:t>W przypadku rozwiązania umowy za porozumieniem stron, ustalony termin rozwiązania umowy nie może być dłuższy niż 3 miesiące.</w:t>
      </w:r>
    </w:p>
    <w:p w14:paraId="4005D195" w14:textId="43064806" w:rsidR="00AF7950" w:rsidRDefault="008E7C07">
      <w:pPr>
        <w:pStyle w:val="Tekstpodstawowywcity"/>
        <w:ind w:left="567" w:hanging="283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3.</w:t>
      </w:r>
      <w:r>
        <w:rPr>
          <w:rFonts w:ascii="Tahoma" w:hAnsi="Tahoma"/>
          <w:sz w:val="22"/>
          <w:szCs w:val="22"/>
        </w:rPr>
        <w:tab/>
        <w:t xml:space="preserve">Każda ze Stron ma prawo wypowiedzenia Umowy ze skutkiem natychmiastowym, </w:t>
      </w:r>
      <w:r w:rsidR="00A572DD">
        <w:rPr>
          <w:rFonts w:ascii="Tahoma" w:hAnsi="Tahoma"/>
          <w:sz w:val="22"/>
          <w:szCs w:val="22"/>
        </w:rPr>
        <w:br/>
      </w:r>
      <w:r>
        <w:rPr>
          <w:rFonts w:ascii="Tahoma" w:hAnsi="Tahoma"/>
          <w:sz w:val="22"/>
          <w:szCs w:val="22"/>
        </w:rPr>
        <w:t>w przypadku istotnego naruszenia przez drugą Stronę postanowień Umowy.</w:t>
      </w:r>
    </w:p>
    <w:p w14:paraId="3A461580" w14:textId="5028A50E" w:rsidR="00AF7950" w:rsidRDefault="008E7C07">
      <w:pPr>
        <w:pStyle w:val="Tekstpodstawowywcity"/>
        <w:ind w:left="567" w:hanging="283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4.</w:t>
      </w:r>
      <w:r>
        <w:rPr>
          <w:rFonts w:ascii="Tahoma" w:hAnsi="Tahoma"/>
          <w:sz w:val="22"/>
          <w:szCs w:val="22"/>
        </w:rPr>
        <w:tab/>
        <w:t xml:space="preserve">Każda ze stron ma prawo wypowiedzenia Umowy z innych przyczyn niż określone w ust. 3 powyżej, z maksymalnie 3 (trzy) miesięcznym terminem wypowiedzenia, </w:t>
      </w:r>
      <w:r w:rsidR="00A572DD">
        <w:rPr>
          <w:rFonts w:ascii="Tahoma" w:hAnsi="Tahoma"/>
          <w:sz w:val="22"/>
          <w:szCs w:val="22"/>
        </w:rPr>
        <w:br/>
      </w:r>
      <w:r>
        <w:rPr>
          <w:rFonts w:ascii="Tahoma" w:hAnsi="Tahoma"/>
          <w:sz w:val="22"/>
          <w:szCs w:val="22"/>
        </w:rPr>
        <w:t xml:space="preserve">z zastrzeżeniem, że w przypadku, gdy w okresie wypowiedzenia wystąpi zdarzenie, </w:t>
      </w:r>
      <w:r w:rsidR="00A572DD">
        <w:rPr>
          <w:rFonts w:ascii="Tahoma" w:hAnsi="Tahoma"/>
          <w:sz w:val="22"/>
          <w:szCs w:val="22"/>
        </w:rPr>
        <w:br/>
      </w:r>
      <w:r>
        <w:rPr>
          <w:rFonts w:ascii="Tahoma" w:hAnsi="Tahoma"/>
          <w:sz w:val="22"/>
          <w:szCs w:val="22"/>
        </w:rPr>
        <w:t>o którym mowa w ust. 1 skutkujące rozwiązaniem Umowy, to Umowa ulega rozwiązaniu zgodnie z treścią ust. 1.</w:t>
      </w:r>
    </w:p>
    <w:p w14:paraId="2DB39735" w14:textId="77777777" w:rsidR="00AF7950" w:rsidRDefault="008E7C07">
      <w:pPr>
        <w:pStyle w:val="Tekstpodstawowywcity"/>
        <w:ind w:left="567" w:hanging="283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5.</w:t>
      </w:r>
      <w:r>
        <w:rPr>
          <w:rFonts w:ascii="Tahoma" w:hAnsi="Tahoma"/>
          <w:sz w:val="22"/>
          <w:szCs w:val="22"/>
        </w:rPr>
        <w:tab/>
        <w:t xml:space="preserve">Umowa może przewidywać różne terminy wypowiedzenia w zależności od czasu pełnienia funkcji Członka Zarządu, z zastrzeżeniem ust. 1, a także, że termin wypowiedzenia upływa z końcem miesiąca kalendarzowego. </w:t>
      </w:r>
    </w:p>
    <w:p w14:paraId="5DBC9F93" w14:textId="77777777" w:rsidR="00AF7950" w:rsidRDefault="008E7C07">
      <w:pPr>
        <w:pStyle w:val="Tekstpodstawowywcity"/>
        <w:ind w:left="567" w:hanging="283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6.</w:t>
      </w:r>
      <w:r>
        <w:rPr>
          <w:rFonts w:ascii="Tahoma" w:hAnsi="Tahoma"/>
          <w:sz w:val="22"/>
          <w:szCs w:val="22"/>
        </w:rPr>
        <w:tab/>
        <w:t>W razie rozwiązania lub wypowiedzenia Umowy z jakichkolwiek przyczyn innych niż naruszenie przez Członka Zarządu podstawowych obowiązków wynikających z Umowy, Członkowi Zarządu może być przyznana odprawa w wysokości nie wyższej niż trzykrotność Wynagrodzenia Stałego, pod warunkiem pełnienia przez niego funkcji przez okres co najmniej 12 (dwunastu) miesięcy przed rozwiązaniem tej umowy.</w:t>
      </w:r>
    </w:p>
    <w:p w14:paraId="2842A3A5" w14:textId="77777777" w:rsidR="00AF7950" w:rsidRDefault="008E7C07">
      <w:pPr>
        <w:pStyle w:val="Tekstpodstawowywcity"/>
        <w:ind w:left="567" w:hanging="283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7.</w:t>
      </w:r>
      <w:r>
        <w:rPr>
          <w:rFonts w:ascii="Tahoma" w:hAnsi="Tahoma"/>
          <w:sz w:val="22"/>
          <w:szCs w:val="22"/>
        </w:rPr>
        <w:tab/>
        <w:t>Odprawa, o której mowa w ust. 6 nie przysługuje Członkowi Zarządu w przypadku:</w:t>
      </w:r>
    </w:p>
    <w:p w14:paraId="1F8CB13B" w14:textId="4250E8A5" w:rsidR="00AF7950" w:rsidRDefault="008E7C0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ahoma" w:hAnsi="Tahoma"/>
        </w:rPr>
      </w:pPr>
      <w:r>
        <w:rPr>
          <w:rFonts w:ascii="Tahoma" w:hAnsi="Tahoma" w:cs="Arial"/>
        </w:rPr>
        <w:t xml:space="preserve">wypowiedzenia, rozwiązania lub zmiany Umowy wskutek zmiany funkcji pełnionej </w:t>
      </w:r>
      <w:r w:rsidR="00A572DD">
        <w:rPr>
          <w:rFonts w:ascii="Tahoma" w:hAnsi="Tahoma" w:cs="Arial"/>
        </w:rPr>
        <w:br/>
      </w:r>
      <w:r>
        <w:rPr>
          <w:rFonts w:ascii="Tahoma" w:hAnsi="Tahoma" w:cs="Arial"/>
        </w:rPr>
        <w:t>w składzie Zarządu,</w:t>
      </w:r>
    </w:p>
    <w:p w14:paraId="7377F86D" w14:textId="77777777" w:rsidR="00AF7950" w:rsidRDefault="008E7C0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ahoma" w:hAnsi="Tahoma"/>
        </w:rPr>
      </w:pPr>
      <w:r>
        <w:rPr>
          <w:rFonts w:ascii="Tahoma" w:hAnsi="Tahoma" w:cs="Arial"/>
        </w:rPr>
        <w:t>wypowiedzenia, rozwiązania lub zmiany Umowy wskutek powołania na kolejną kadencję Zarządu,</w:t>
      </w:r>
    </w:p>
    <w:p w14:paraId="5C825F30" w14:textId="77777777" w:rsidR="00AF7950" w:rsidRDefault="008E7C0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ahoma" w:hAnsi="Tahoma"/>
        </w:rPr>
      </w:pPr>
      <w:r>
        <w:rPr>
          <w:rFonts w:ascii="Tahoma" w:hAnsi="Tahoma" w:cs="Arial"/>
        </w:rPr>
        <w:t>objęcia funkcji członka zarządu w spółce z grupy kapitałowej Spółki,</w:t>
      </w:r>
    </w:p>
    <w:p w14:paraId="108A9C5E" w14:textId="77777777" w:rsidR="00AF7950" w:rsidRDefault="008E7C07">
      <w:pPr>
        <w:pStyle w:val="Akapitzlist"/>
        <w:numPr>
          <w:ilvl w:val="0"/>
          <w:numId w:val="8"/>
        </w:numPr>
        <w:spacing w:after="160" w:line="360" w:lineRule="auto"/>
        <w:jc w:val="both"/>
        <w:rPr>
          <w:rFonts w:ascii="Tahoma" w:hAnsi="Tahoma"/>
        </w:rPr>
      </w:pPr>
      <w:r>
        <w:rPr>
          <w:rFonts w:ascii="Tahoma" w:eastAsia="Times New Roman" w:hAnsi="Tahoma" w:cs="Arial"/>
          <w:lang w:eastAsia="pl-PL"/>
        </w:rPr>
        <w:t>rezygnacji z pełnienia funkcji.</w:t>
      </w:r>
    </w:p>
    <w:p w14:paraId="309D7327" w14:textId="77777777" w:rsidR="00AF7950" w:rsidRDefault="008E7C07">
      <w:pPr>
        <w:spacing w:line="360" w:lineRule="auto"/>
        <w:contextualSpacing/>
        <w:jc w:val="center"/>
        <w:rPr>
          <w:rFonts w:ascii="Tahoma" w:hAnsi="Tahoma"/>
        </w:rPr>
      </w:pPr>
      <w:r>
        <w:rPr>
          <w:rFonts w:ascii="Tahoma" w:eastAsia="Times New Roman" w:hAnsi="Tahoma" w:cs="Tahoma"/>
          <w:b/>
          <w:bCs/>
          <w:lang w:eastAsia="pl-PL"/>
        </w:rPr>
        <w:t>§ 7</w:t>
      </w:r>
    </w:p>
    <w:p w14:paraId="23577111" w14:textId="77777777" w:rsidR="00AF7950" w:rsidRDefault="008E7C07">
      <w:pPr>
        <w:numPr>
          <w:ilvl w:val="0"/>
          <w:numId w:val="7"/>
        </w:numPr>
        <w:spacing w:after="0" w:line="360" w:lineRule="auto"/>
        <w:ind w:left="567" w:hanging="283"/>
        <w:contextualSpacing/>
        <w:jc w:val="both"/>
        <w:rPr>
          <w:rFonts w:ascii="Tahoma" w:hAnsi="Tahoma"/>
        </w:rPr>
      </w:pPr>
      <w:r>
        <w:rPr>
          <w:rFonts w:ascii="Tahoma" w:eastAsia="Times New Roman" w:hAnsi="Tahoma" w:cs="Tahoma"/>
          <w:lang w:eastAsia="pl-PL"/>
        </w:rPr>
        <w:t>Z Członkiem Zarządu może być zawarta umowa o zakazie konkurencji obowiązującym po ustaniu pełnienia funkcji, przy czym może być ona zawarta jedynie w przypadku pełnienia funkcji przez członka zarządu przez okres co najmniej 3 miesięcy.</w:t>
      </w:r>
    </w:p>
    <w:p w14:paraId="6C99611B" w14:textId="77777777" w:rsidR="00AF7950" w:rsidRDefault="008E7C07">
      <w:pPr>
        <w:numPr>
          <w:ilvl w:val="0"/>
          <w:numId w:val="7"/>
        </w:numPr>
        <w:spacing w:after="0" w:line="360" w:lineRule="auto"/>
        <w:ind w:left="567" w:hanging="283"/>
        <w:contextualSpacing/>
        <w:jc w:val="both"/>
        <w:rPr>
          <w:rFonts w:ascii="Tahoma" w:hAnsi="Tahoma"/>
        </w:rPr>
      </w:pPr>
      <w:r>
        <w:rPr>
          <w:rFonts w:ascii="Tahoma" w:eastAsia="Times New Roman" w:hAnsi="Tahoma" w:cs="Tahoma"/>
          <w:lang w:eastAsia="pl-PL"/>
        </w:rPr>
        <w:t>Zawarcie umowy o zakazie konkurencji po rozwiązaniu lub wypowiedzeniu umowy o świadczenie usług zarządzania jest niedopuszczalne.</w:t>
      </w:r>
    </w:p>
    <w:p w14:paraId="532F3108" w14:textId="77777777" w:rsidR="00AF7950" w:rsidRDefault="008E7C07">
      <w:pPr>
        <w:numPr>
          <w:ilvl w:val="0"/>
          <w:numId w:val="7"/>
        </w:numPr>
        <w:spacing w:after="0" w:line="360" w:lineRule="auto"/>
        <w:ind w:left="567" w:hanging="283"/>
        <w:contextualSpacing/>
        <w:jc w:val="both"/>
        <w:rPr>
          <w:rFonts w:ascii="Tahoma" w:hAnsi="Tahoma"/>
        </w:rPr>
      </w:pPr>
      <w:r>
        <w:rPr>
          <w:rFonts w:ascii="Tahoma" w:eastAsia="Times New Roman" w:hAnsi="Tahoma" w:cs="Tahoma"/>
          <w:lang w:eastAsia="pl-PL"/>
        </w:rPr>
        <w:t>Okres zakazu konkurencji nie może przekraczać 6 miesięcy po ustaniu pełnienia funkcji przez Członka Zarządu.</w:t>
      </w:r>
    </w:p>
    <w:p w14:paraId="5478F338" w14:textId="77777777" w:rsidR="00AF7950" w:rsidRDefault="008E7C07">
      <w:pPr>
        <w:numPr>
          <w:ilvl w:val="0"/>
          <w:numId w:val="7"/>
        </w:numPr>
        <w:spacing w:after="0" w:line="360" w:lineRule="auto"/>
        <w:ind w:left="567" w:hanging="283"/>
        <w:contextualSpacing/>
        <w:jc w:val="both"/>
        <w:rPr>
          <w:rFonts w:ascii="Tahoma" w:hAnsi="Tahoma"/>
        </w:rPr>
      </w:pPr>
      <w:r>
        <w:rPr>
          <w:rFonts w:ascii="Tahoma" w:eastAsia="Times New Roman" w:hAnsi="Tahoma" w:cs="Tahoma"/>
          <w:lang w:eastAsia="pl-PL"/>
        </w:rPr>
        <w:t>W razie niewykonania lub nienależytego wykonania przez członka zarządu umowy o zakazie konkurencji, będzie on zobowiązany do zapłaty kary umownej na rzecz Spółki, nie niższej niż wysokość odszkodowania przysługującego za cały okres zakazu konkurencji.</w:t>
      </w:r>
    </w:p>
    <w:p w14:paraId="70ECD5C4" w14:textId="08871737" w:rsidR="001A0BC0" w:rsidRPr="008E7C07" w:rsidRDefault="008E7C07" w:rsidP="008E7C07">
      <w:pPr>
        <w:numPr>
          <w:ilvl w:val="0"/>
          <w:numId w:val="7"/>
        </w:numPr>
        <w:spacing w:after="0" w:line="360" w:lineRule="auto"/>
        <w:ind w:left="567" w:hanging="283"/>
        <w:contextualSpacing/>
        <w:jc w:val="both"/>
        <w:rPr>
          <w:rFonts w:ascii="Tahoma" w:hAnsi="Tahoma"/>
        </w:rPr>
      </w:pPr>
      <w:r>
        <w:rPr>
          <w:rFonts w:ascii="Tahoma" w:eastAsia="Times New Roman" w:hAnsi="Tahoma" w:cs="Tahoma"/>
          <w:lang w:eastAsia="pl-PL"/>
        </w:rPr>
        <w:lastRenderedPageBreak/>
        <w:t xml:space="preserve">Zakaz konkurencji przestaje obowiązywać przed upływem terminu, na jaki została zawarta umowa o zakazie konkurencji, w razie podjęcia się pełnienia przez członka zarządu funkcji w innej spółce w rozumieniu art. 1 ust. 3 pkt 7 Ustawy. </w:t>
      </w:r>
    </w:p>
    <w:p w14:paraId="40962FB5" w14:textId="77777777" w:rsidR="001A0BC0" w:rsidRDefault="001A0BC0">
      <w:pPr>
        <w:spacing w:after="0" w:line="360" w:lineRule="auto"/>
        <w:ind w:left="1004"/>
        <w:contextualSpacing/>
        <w:jc w:val="both"/>
        <w:rPr>
          <w:rFonts w:eastAsia="Times New Roman" w:cs="Tahoma"/>
          <w:lang w:eastAsia="pl-PL"/>
        </w:rPr>
      </w:pPr>
    </w:p>
    <w:p w14:paraId="346E3946" w14:textId="77777777" w:rsidR="00AF7950" w:rsidRDefault="008E7C07">
      <w:pPr>
        <w:spacing w:line="360" w:lineRule="auto"/>
        <w:contextualSpacing/>
        <w:jc w:val="center"/>
        <w:rPr>
          <w:rFonts w:ascii="Tahoma" w:hAnsi="Tahoma"/>
        </w:rPr>
      </w:pPr>
      <w:r>
        <w:rPr>
          <w:rFonts w:ascii="Tahoma" w:eastAsia="Times New Roman" w:hAnsi="Tahoma" w:cs="Tahoma"/>
          <w:b/>
          <w:bCs/>
          <w:lang w:eastAsia="pl-PL"/>
        </w:rPr>
        <w:t>§ 8</w:t>
      </w:r>
    </w:p>
    <w:p w14:paraId="0397F618" w14:textId="77777777" w:rsidR="00AF7950" w:rsidRDefault="008E7C07">
      <w:pPr>
        <w:spacing w:after="0" w:line="360" w:lineRule="auto"/>
        <w:contextualSpacing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Uchwała wchodzi w życie z dniem podjęcia.</w:t>
      </w:r>
    </w:p>
    <w:p w14:paraId="7FE655F9" w14:textId="77777777" w:rsidR="00AF670A" w:rsidRDefault="00AF670A">
      <w:pPr>
        <w:spacing w:after="0" w:line="360" w:lineRule="auto"/>
        <w:contextualSpacing/>
        <w:jc w:val="both"/>
        <w:rPr>
          <w:rFonts w:ascii="Tahoma" w:eastAsia="Times New Roman" w:hAnsi="Tahoma" w:cs="Tahoma"/>
          <w:lang w:eastAsia="pl-PL"/>
        </w:rPr>
      </w:pPr>
    </w:p>
    <w:p w14:paraId="73537CC0" w14:textId="77777777" w:rsidR="00AF670A" w:rsidRDefault="00AF670A">
      <w:pPr>
        <w:spacing w:after="0" w:line="360" w:lineRule="auto"/>
        <w:contextualSpacing/>
        <w:jc w:val="both"/>
        <w:rPr>
          <w:rFonts w:ascii="Tahoma" w:eastAsia="Times New Roman" w:hAnsi="Tahoma" w:cs="Tahoma"/>
          <w:lang w:eastAsia="pl-PL"/>
        </w:rPr>
      </w:pPr>
    </w:p>
    <w:p w14:paraId="5D5B8A7D" w14:textId="77777777" w:rsidR="00AF670A" w:rsidRDefault="00AF670A">
      <w:pPr>
        <w:spacing w:after="0" w:line="360" w:lineRule="auto"/>
        <w:contextualSpacing/>
        <w:jc w:val="both"/>
        <w:rPr>
          <w:rFonts w:ascii="Tahoma" w:eastAsia="Times New Roman" w:hAnsi="Tahoma" w:cs="Tahoma"/>
          <w:lang w:eastAsia="pl-PL"/>
        </w:rPr>
      </w:pPr>
    </w:p>
    <w:p w14:paraId="4F013267" w14:textId="77777777" w:rsidR="00AF670A" w:rsidRDefault="00AF670A">
      <w:pPr>
        <w:spacing w:after="0" w:line="360" w:lineRule="auto"/>
        <w:contextualSpacing/>
        <w:jc w:val="both"/>
        <w:rPr>
          <w:rFonts w:ascii="Tahoma" w:eastAsia="Times New Roman" w:hAnsi="Tahoma" w:cs="Tahoma"/>
          <w:lang w:eastAsia="pl-PL"/>
        </w:rPr>
      </w:pPr>
    </w:p>
    <w:p w14:paraId="020C4EC6" w14:textId="152B66E4" w:rsidR="00AF670A" w:rsidRDefault="00AF670A" w:rsidP="00AF670A">
      <w:pPr>
        <w:spacing w:after="0" w:line="360" w:lineRule="auto"/>
        <w:ind w:left="3540" w:firstLine="708"/>
        <w:contextualSpacing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Przewodniczący Zgromadzenia Wspólników</w:t>
      </w:r>
    </w:p>
    <w:p w14:paraId="33743E02" w14:textId="49D66EC9" w:rsidR="00AF670A" w:rsidRDefault="00AF670A" w:rsidP="00AF670A">
      <w:pPr>
        <w:spacing w:after="0" w:line="360" w:lineRule="auto"/>
        <w:ind w:left="4248" w:firstLine="708"/>
        <w:contextualSpacing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Burmistrz Miasta Redy</w:t>
      </w:r>
    </w:p>
    <w:p w14:paraId="32B6BBEB" w14:textId="6CA17A82" w:rsidR="00AF670A" w:rsidRDefault="00AF670A" w:rsidP="00AF670A">
      <w:pPr>
        <w:spacing w:after="0" w:line="360" w:lineRule="auto"/>
        <w:ind w:left="4956"/>
        <w:contextualSpacing/>
        <w:jc w:val="both"/>
        <w:rPr>
          <w:rFonts w:ascii="Tahoma" w:hAnsi="Tahoma"/>
        </w:rPr>
      </w:pPr>
      <w:r>
        <w:rPr>
          <w:rFonts w:ascii="Tahoma" w:eastAsia="Times New Roman" w:hAnsi="Tahoma" w:cs="Tahoma"/>
          <w:lang w:eastAsia="pl-PL"/>
        </w:rPr>
        <w:t xml:space="preserve">     Mateusz Richert</w:t>
      </w:r>
    </w:p>
    <w:p w14:paraId="77C8AB04" w14:textId="77777777" w:rsidR="00AF7950" w:rsidRDefault="00AF7950">
      <w:pPr>
        <w:rPr>
          <w:rFonts w:ascii="Tahoma" w:hAnsi="Tahoma"/>
        </w:rPr>
      </w:pPr>
    </w:p>
    <w:sectPr w:rsidR="00AF7950" w:rsidSect="00A572DD">
      <w:footerReference w:type="default" r:id="rId7"/>
      <w:pgSz w:w="11906" w:h="16838"/>
      <w:pgMar w:top="709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36058" w14:textId="77777777" w:rsidR="008E7C07" w:rsidRDefault="008E7C07">
      <w:pPr>
        <w:spacing w:after="0" w:line="240" w:lineRule="auto"/>
      </w:pPr>
      <w:r>
        <w:separator/>
      </w:r>
    </w:p>
  </w:endnote>
  <w:endnote w:type="continuationSeparator" w:id="0">
    <w:p w14:paraId="2FD971BC" w14:textId="77777777" w:rsidR="008E7C07" w:rsidRDefault="008E7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LMANK+TimesNewRomanPSMT">
    <w:altName w:val="Cambria"/>
    <w:charset w:val="EE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20349236"/>
      <w:docPartObj>
        <w:docPartGallery w:val="Page Numbers (Bottom of Page)"/>
        <w:docPartUnique/>
      </w:docPartObj>
    </w:sdtPr>
    <w:sdtEndPr/>
    <w:sdtContent>
      <w:p w14:paraId="748ECABA" w14:textId="77777777" w:rsidR="00AF7950" w:rsidRDefault="008E7C07">
        <w:pPr>
          <w:pStyle w:val="Stopka"/>
        </w:pPr>
        <w:r>
          <w:fldChar w:fldCharType="begin"/>
        </w:r>
        <w:r>
          <w:instrText>PAGE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250433C3" w14:textId="77777777" w:rsidR="00AF7950" w:rsidRDefault="00AF79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DA501" w14:textId="77777777" w:rsidR="008E7C07" w:rsidRDefault="008E7C07">
      <w:pPr>
        <w:spacing w:after="0" w:line="240" w:lineRule="auto"/>
      </w:pPr>
      <w:r>
        <w:separator/>
      </w:r>
    </w:p>
  </w:footnote>
  <w:footnote w:type="continuationSeparator" w:id="0">
    <w:p w14:paraId="6E110A77" w14:textId="77777777" w:rsidR="008E7C07" w:rsidRDefault="008E7C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77C0F"/>
    <w:multiLevelType w:val="multilevel"/>
    <w:tmpl w:val="23908FA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04125FE"/>
    <w:multiLevelType w:val="multilevel"/>
    <w:tmpl w:val="759EAA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6C45E13"/>
    <w:multiLevelType w:val="multilevel"/>
    <w:tmpl w:val="4770F02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75D4551"/>
    <w:multiLevelType w:val="multilevel"/>
    <w:tmpl w:val="DEC60C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42190AE7"/>
    <w:multiLevelType w:val="multilevel"/>
    <w:tmpl w:val="D2B896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47751FBE"/>
    <w:multiLevelType w:val="multilevel"/>
    <w:tmpl w:val="E47638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6256488B"/>
    <w:multiLevelType w:val="multilevel"/>
    <w:tmpl w:val="8BEE91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B99233D"/>
    <w:multiLevelType w:val="multilevel"/>
    <w:tmpl w:val="1582A29C"/>
    <w:lvl w:ilvl="0">
      <w:start w:val="1"/>
      <w:numFmt w:val="decimal"/>
      <w:lvlText w:val="%1)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8" w15:restartNumberingAfterBreak="0">
    <w:nsid w:val="751D1ED3"/>
    <w:multiLevelType w:val="multilevel"/>
    <w:tmpl w:val="82E8839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302200508">
    <w:abstractNumId w:val="2"/>
  </w:num>
  <w:num w:numId="2" w16cid:durableId="1304576403">
    <w:abstractNumId w:val="5"/>
  </w:num>
  <w:num w:numId="3" w16cid:durableId="650403275">
    <w:abstractNumId w:val="6"/>
  </w:num>
  <w:num w:numId="4" w16cid:durableId="1286084313">
    <w:abstractNumId w:val="7"/>
  </w:num>
  <w:num w:numId="5" w16cid:durableId="272591872">
    <w:abstractNumId w:val="3"/>
  </w:num>
  <w:num w:numId="6" w16cid:durableId="1059475150">
    <w:abstractNumId w:val="0"/>
  </w:num>
  <w:num w:numId="7" w16cid:durableId="239103407">
    <w:abstractNumId w:val="4"/>
  </w:num>
  <w:num w:numId="8" w16cid:durableId="312562427">
    <w:abstractNumId w:val="8"/>
  </w:num>
  <w:num w:numId="9" w16cid:durableId="7055701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950"/>
    <w:rsid w:val="001A0BC0"/>
    <w:rsid w:val="003E2096"/>
    <w:rsid w:val="008E7C07"/>
    <w:rsid w:val="00A572DD"/>
    <w:rsid w:val="00AF670A"/>
    <w:rsid w:val="00AF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7596B"/>
  <w15:docId w15:val="{BE1AEA41-14C1-4C79-A12E-905E00E63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DF11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110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F11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6A5032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6A503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6A503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6A5032"/>
    <w:rPr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A503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B138F5"/>
  </w:style>
  <w:style w:type="character" w:customStyle="1" w:styleId="StopkaZnak">
    <w:name w:val="Stopka Znak"/>
    <w:basedOn w:val="Domylnaczcionkaakapitu"/>
    <w:link w:val="Stopka"/>
    <w:uiPriority w:val="99"/>
    <w:qFormat/>
    <w:rsid w:val="00B138F5"/>
  </w:style>
  <w:style w:type="character" w:styleId="Pogrubienie">
    <w:name w:val="Strong"/>
    <w:basedOn w:val="Domylnaczcionkaakapitu"/>
    <w:uiPriority w:val="22"/>
    <w:qFormat/>
    <w:rsid w:val="003A7C11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DF110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DF110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DF110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qFormat/>
    <w:rsid w:val="00DF110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DF110F"/>
    <w:rPr>
      <w:vertAlign w:val="superscript"/>
    </w:rPr>
  </w:style>
  <w:style w:type="character" w:customStyle="1" w:styleId="czeinternetowe">
    <w:name w:val="Łącze internetowe"/>
    <w:basedOn w:val="Domylnaczcionkaakapitu"/>
    <w:uiPriority w:val="99"/>
    <w:unhideWhenUsed/>
    <w:rsid w:val="00DF110F"/>
    <w:rPr>
      <w:color w:val="0563C1" w:themeColor="hyperlink"/>
      <w:u w:val="single"/>
    </w:rPr>
  </w:style>
  <w:style w:type="character" w:customStyle="1" w:styleId="markedcontent">
    <w:name w:val="markedcontent"/>
    <w:basedOn w:val="Domylnaczcionkaakapitu"/>
    <w:qFormat/>
    <w:rsid w:val="00DF110F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F110F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DF110F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DF110F"/>
    <w:rPr>
      <w:color w:val="954F72" w:themeColor="followedHyperlink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46176C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il">
    <w:name w:val="il"/>
    <w:basedOn w:val="Domylnaczcionkaakapitu"/>
    <w:qFormat/>
    <w:rsid w:val="006D5D12"/>
  </w:style>
  <w:style w:type="paragraph" w:styleId="Nagwek">
    <w:name w:val="header"/>
    <w:basedOn w:val="Normalny"/>
    <w:next w:val="Tekstpodstawowy"/>
    <w:link w:val="NagwekZnak"/>
    <w:uiPriority w:val="99"/>
    <w:unhideWhenUsed/>
    <w:rsid w:val="00B138F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0C4195"/>
    <w:pPr>
      <w:spacing w:after="200" w:line="276" w:lineRule="auto"/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6A5032"/>
    <w:pPr>
      <w:spacing w:after="0" w:line="240" w:lineRule="auto"/>
    </w:pPr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6A5032"/>
    <w:pPr>
      <w:spacing w:after="200"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A503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B138F5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unhideWhenUsed/>
    <w:qFormat/>
    <w:rsid w:val="003A7C1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DF110F"/>
    <w:pPr>
      <w:spacing w:after="0" w:line="240" w:lineRule="auto"/>
    </w:pPr>
    <w:rPr>
      <w:sz w:val="20"/>
      <w:szCs w:val="20"/>
    </w:rPr>
  </w:style>
  <w:style w:type="paragraph" w:customStyle="1" w:styleId="Default">
    <w:name w:val="Default"/>
    <w:qFormat/>
    <w:rsid w:val="00DF110F"/>
    <w:rPr>
      <w:rFonts w:ascii="BLMANK+TimesNewRomanPSMT" w:eastAsia="Calibri" w:hAnsi="BLMANK+TimesNewRomanPSMT" w:cs="BLMANK+TimesNewRomanPSMT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F110F"/>
    <w:pPr>
      <w:spacing w:after="160"/>
    </w:pPr>
    <w:rPr>
      <w:b/>
      <w:bCs/>
    </w:rPr>
  </w:style>
  <w:style w:type="paragraph" w:styleId="Tekstpodstawowywcity">
    <w:name w:val="Body Text Indent"/>
    <w:basedOn w:val="Normalny"/>
    <w:link w:val="TekstpodstawowywcityZnak"/>
    <w:rsid w:val="0046176C"/>
    <w:pPr>
      <w:spacing w:after="0" w:line="360" w:lineRule="auto"/>
      <w:ind w:firstLine="567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uiPriority w:val="39"/>
    <w:rsid w:val="00FD537A"/>
    <w:rPr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FD53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993</Words>
  <Characters>5960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Wydawnictwo C.H.Beck sp. z o.o.</Company>
  <LinksUpToDate>false</LinksUpToDate>
  <CharactersWithSpaces>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Gozdek</dc:creator>
  <dc:description/>
  <cp:lastModifiedBy>Agnieszka Lewandowska</cp:lastModifiedBy>
  <cp:revision>2</cp:revision>
  <cp:lastPrinted>2025-10-01T09:05:00Z</cp:lastPrinted>
  <dcterms:created xsi:type="dcterms:W3CDTF">2025-10-01T09:05:00Z</dcterms:created>
  <dcterms:modified xsi:type="dcterms:W3CDTF">2025-10-01T09:05:00Z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Wydawnictwo C.H.Beck sp. z o.o.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