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lutego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Zespołu do pracy nad Strategią Rozwoju Gminy Miasto Reda do roku 2030.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art.4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zasadach prowadzenia polityki rozwoju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1295)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Statutu Gminy Miasto Reda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3934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Zespół  osób  do pracy nad Strategią Rozwoju Gminy Miasto Reda do roku 2030, zwany dalej „Zespołem”,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Łukasz Kamiński – Przewodniczący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Halina Grzeszczuk –Wiceprzewodnicząca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Hanna Janiak –Wiceprzewodnicząca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Jolanta Dampc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Zbigniew Elwart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Andrzej Krauze–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Jarosław Kubera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Elżbieta Lesner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Adam Mierzejewski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Bożena Natzke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Mirosław Rożyński  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Jerzy Stenka– Członek Zespołu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Tomasz Wiśniewski  – Członek Zespołu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ma charakter zespołu konsultacyjnego, którego praca polegać będzie na doradztwie oraz wypracowaniu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przedstawianiu opinii oraz stanowisk,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na pomocy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formułowaniu zapisów tworzonej Strategii Rozwoju Gminy Miasto Reda do roku 2030.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Zespołem kieruje Przewodniczący Zespołu.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jego nieobecności  jeden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Wiceprzewodniczących.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Prace Zespołu mogą się odbywać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grupach, skupionych wokół następujących obszarów: społeczny, gospodarczy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środowiskowo – przestrzenny.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zaistnienia konieczności  Zespół może pracować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obszarach adekwatnych do uzasadnionych potrzeb.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Zespołu są protokołowane.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wykonuje powierzone obowiązki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uzasadnionych przypadkach Zespół może pracować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 kierowników referatów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kierowników miejskich jednostek organizacyjnych do współdziałania oraz udzielania  informacji oraz niezbędnej pomocy we wszelkich sprawach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pracami Zespołu,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pozostających we właściwości danego referatu bądź jednostki.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ma prawo do zasięgnięcia opinii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przeprowadzenia konsultacji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doradców zewnętrznych, ma też prawo do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opinii różnego rodzaju specjalistów.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 Członków Zespołu jest wykonywana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obowiązków pracowniczych. Udział ekspertów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doradców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Zespole ma charakter społeczny.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koordynację prac Zespołu,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obsługę administracyjno – organizacyjną odpowiada wyznaczony pracownik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 Redy.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0852E814-EF60-400F-BACA-FD5C7B264D35.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OR.2.2020 z dnia 12 lutego 2020 r.</dc:title>
  <dc:subject>w sprawie powołania Zespołu do pracy nad Strategią Rozwoju Gminy Miasto Reda do roku 2030.</dc:subject>
  <dc:creator>hjaniak</dc:creator>
  <cp:lastModifiedBy>hjaniak</cp:lastModifiedBy>
  <cp:revision>1</cp:revision>
  <dcterms:created xsi:type="dcterms:W3CDTF">2020-02-25T11:12:34Z</dcterms:created>
  <dcterms:modified xsi:type="dcterms:W3CDTF">2020-02-25T11:12:34Z</dcterms:modified>
  <cp:category>Akt prawny</cp:category>
</cp:coreProperties>
</file>